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A9723" w14:textId="19669417" w:rsidR="002E3B84" w:rsidRPr="002E3B84" w:rsidRDefault="002E3B84" w:rsidP="002E3B84">
      <w:pPr>
        <w:pStyle w:val="Sinespaciado"/>
        <w:jc w:val="both"/>
        <w:rPr>
          <w:rFonts w:ascii="Verdana" w:hAnsi="Verdana"/>
          <w:b/>
          <w:bCs/>
        </w:rPr>
      </w:pPr>
      <w:r w:rsidRPr="002E3B84">
        <w:rPr>
          <w:rFonts w:ascii="Verdana" w:hAnsi="Verdana"/>
          <w:b/>
          <w:bCs/>
        </w:rPr>
        <w:t>CONCEPTO 617 DEL 28 DE ABRIL DE 2021</w:t>
      </w:r>
    </w:p>
    <w:p w14:paraId="0F4BEB09" w14:textId="1F5FBE1F" w:rsidR="002E3B84" w:rsidRPr="002E3B84" w:rsidRDefault="002E3B84" w:rsidP="002E3B84">
      <w:pPr>
        <w:pStyle w:val="Sinespaciado"/>
        <w:jc w:val="both"/>
        <w:rPr>
          <w:rFonts w:ascii="Verdana" w:hAnsi="Verdana"/>
          <w:b/>
          <w:bCs/>
        </w:rPr>
      </w:pPr>
      <w:r w:rsidRPr="002E3B84">
        <w:rPr>
          <w:rFonts w:ascii="Verdana" w:hAnsi="Verdana"/>
          <w:b/>
          <w:bCs/>
        </w:rPr>
        <w:t>DIRECCIÓN DE IMPUESTOS Y ADUANAS NACIONALES</w:t>
      </w:r>
    </w:p>
    <w:p w14:paraId="5B8ED651" w14:textId="370D65DB" w:rsidR="002E3B84" w:rsidRDefault="002E3B84" w:rsidP="002E3B84">
      <w:pPr>
        <w:pStyle w:val="Sinespaciado"/>
        <w:jc w:val="both"/>
        <w:rPr>
          <w:rFonts w:ascii="Verdana" w:hAnsi="Verdana"/>
        </w:rPr>
      </w:pPr>
    </w:p>
    <w:p w14:paraId="18095E0C" w14:textId="4FFBD3AC" w:rsidR="002E3B84" w:rsidRDefault="002E3B84" w:rsidP="002E3B84">
      <w:pPr>
        <w:pStyle w:val="Sinespaciado"/>
        <w:jc w:val="both"/>
        <w:rPr>
          <w:rFonts w:ascii="Verdana" w:hAnsi="Verdana"/>
        </w:rPr>
      </w:pPr>
      <w:r>
        <w:rPr>
          <w:rFonts w:ascii="Verdana" w:hAnsi="Verdana"/>
        </w:rPr>
        <w:t>Bogotá, D.C.</w:t>
      </w:r>
    </w:p>
    <w:p w14:paraId="0AF44A53" w14:textId="58D407A6" w:rsidR="002E3B84" w:rsidRDefault="002E3B84" w:rsidP="002E3B84">
      <w:pPr>
        <w:pStyle w:val="Sinespaciado"/>
        <w:jc w:val="both"/>
        <w:rPr>
          <w:rFonts w:ascii="Verdana" w:hAnsi="Verdana"/>
        </w:rPr>
      </w:pPr>
    </w:p>
    <w:p w14:paraId="6A39BEC3" w14:textId="24FE7588" w:rsidR="005B39BE" w:rsidRPr="002E3B84" w:rsidRDefault="002E3B84" w:rsidP="002E3B84">
      <w:pPr>
        <w:pStyle w:val="Sinespaciado"/>
        <w:jc w:val="both"/>
        <w:rPr>
          <w:rFonts w:ascii="Verdana" w:hAnsi="Verdana"/>
        </w:rPr>
      </w:pPr>
      <w:r w:rsidRPr="002E3B84">
        <w:rPr>
          <w:rFonts w:ascii="Verdana" w:hAnsi="Verdana"/>
          <w:b/>
          <w:bCs/>
        </w:rPr>
        <w:t>Tema</w:t>
      </w:r>
      <w:r>
        <w:rPr>
          <w:rFonts w:ascii="Verdana" w:hAnsi="Verdana"/>
          <w:b/>
          <w:bCs/>
        </w:rPr>
        <w:tab/>
      </w:r>
      <w:r>
        <w:rPr>
          <w:rFonts w:ascii="Verdana" w:hAnsi="Verdana"/>
          <w:b/>
          <w:bCs/>
        </w:rPr>
        <w:tab/>
      </w:r>
      <w:r>
        <w:rPr>
          <w:rFonts w:ascii="Verdana" w:hAnsi="Verdana"/>
          <w:b/>
          <w:bCs/>
        </w:rPr>
        <w:tab/>
      </w:r>
      <w:r w:rsidRPr="002E3B84">
        <w:rPr>
          <w:rFonts w:ascii="Verdana" w:hAnsi="Verdana"/>
        </w:rPr>
        <w:t>Aduanero</w:t>
      </w:r>
    </w:p>
    <w:p w14:paraId="44583E5E" w14:textId="35E76338" w:rsidR="005B39BE" w:rsidRPr="002E3B84" w:rsidRDefault="002E3B84" w:rsidP="002E3B84">
      <w:pPr>
        <w:pStyle w:val="Sinespaciado"/>
        <w:jc w:val="both"/>
        <w:rPr>
          <w:rFonts w:ascii="Verdana" w:hAnsi="Verdana"/>
        </w:rPr>
      </w:pPr>
      <w:r w:rsidRPr="002E3B84">
        <w:rPr>
          <w:rFonts w:ascii="Verdana" w:hAnsi="Verdana"/>
          <w:b/>
          <w:bCs/>
        </w:rPr>
        <w:t>Descriptores</w:t>
      </w:r>
      <w:r>
        <w:rPr>
          <w:rFonts w:ascii="Verdana" w:hAnsi="Verdana"/>
          <w:b/>
          <w:bCs/>
        </w:rPr>
        <w:tab/>
      </w:r>
      <w:r>
        <w:rPr>
          <w:rFonts w:ascii="Verdana" w:hAnsi="Verdana"/>
          <w:b/>
          <w:bCs/>
        </w:rPr>
        <w:tab/>
      </w:r>
      <w:r w:rsidRPr="002E3B84">
        <w:rPr>
          <w:rFonts w:ascii="Verdana" w:hAnsi="Verdana"/>
        </w:rPr>
        <w:t>Consorcios y Uniones Temporales - Garantías</w:t>
      </w:r>
    </w:p>
    <w:p w14:paraId="085D7BD6" w14:textId="1DF3D00A" w:rsidR="005B39BE" w:rsidRPr="002E3B84" w:rsidRDefault="002E3B84" w:rsidP="002E3B84">
      <w:pPr>
        <w:pStyle w:val="Sinespaciado"/>
        <w:jc w:val="both"/>
        <w:rPr>
          <w:rFonts w:ascii="Verdana" w:hAnsi="Verdana"/>
        </w:rPr>
      </w:pPr>
      <w:r w:rsidRPr="002E3B84">
        <w:rPr>
          <w:rFonts w:ascii="Verdana" w:hAnsi="Verdana"/>
          <w:b/>
          <w:bCs/>
        </w:rPr>
        <w:t>Fuentes formales</w:t>
      </w:r>
      <w:r>
        <w:rPr>
          <w:rFonts w:ascii="Verdana" w:hAnsi="Verdana"/>
          <w:b/>
          <w:bCs/>
        </w:rPr>
        <w:tab/>
      </w:r>
      <w:r w:rsidRPr="002E3B84">
        <w:rPr>
          <w:rFonts w:ascii="Verdana" w:hAnsi="Verdana"/>
        </w:rPr>
        <w:t>Decreto 1165 de 2019, artículo 9</w:t>
      </w:r>
    </w:p>
    <w:p w14:paraId="05647280" w14:textId="77777777" w:rsidR="005B39BE" w:rsidRPr="002E3B84" w:rsidRDefault="002E3B84" w:rsidP="002E3B84">
      <w:pPr>
        <w:pStyle w:val="Sinespaciado"/>
        <w:ind w:left="2124" w:firstLine="708"/>
        <w:jc w:val="both"/>
        <w:rPr>
          <w:rFonts w:ascii="Verdana" w:hAnsi="Verdana"/>
        </w:rPr>
      </w:pPr>
      <w:r w:rsidRPr="002E3B84">
        <w:rPr>
          <w:rFonts w:ascii="Verdana" w:hAnsi="Verdana"/>
        </w:rPr>
        <w:t>Resolución 46 de 2019, artículo 17</w:t>
      </w:r>
    </w:p>
    <w:p w14:paraId="433F3303" w14:textId="77777777" w:rsidR="002E3B84" w:rsidRDefault="002E3B84" w:rsidP="002E3B84">
      <w:pPr>
        <w:pStyle w:val="Sinespaciado"/>
        <w:jc w:val="both"/>
        <w:rPr>
          <w:rFonts w:ascii="Verdana" w:hAnsi="Verdana"/>
        </w:rPr>
      </w:pPr>
    </w:p>
    <w:p w14:paraId="79893CFD" w14:textId="2D80DA30" w:rsidR="005B39BE" w:rsidRPr="002E3B84" w:rsidRDefault="002E3B84" w:rsidP="002E3B84">
      <w:pPr>
        <w:pStyle w:val="Sinespaciado"/>
        <w:jc w:val="both"/>
        <w:rPr>
          <w:rFonts w:ascii="Verdana" w:hAnsi="Verdana"/>
        </w:rPr>
      </w:pPr>
      <w:r w:rsidRPr="002E3B84">
        <w:rPr>
          <w:rFonts w:ascii="Verdana" w:hAnsi="Verdana"/>
        </w:rPr>
        <w:t>Cordial saludo.</w:t>
      </w:r>
    </w:p>
    <w:p w14:paraId="6A036999" w14:textId="77777777" w:rsidR="002E3B84" w:rsidRDefault="002E3B84" w:rsidP="002E3B84">
      <w:pPr>
        <w:pStyle w:val="Sinespaciado"/>
        <w:jc w:val="both"/>
        <w:rPr>
          <w:rFonts w:ascii="Verdana" w:hAnsi="Verdana"/>
        </w:rPr>
      </w:pPr>
    </w:p>
    <w:p w14:paraId="20F5A15C" w14:textId="6A94D02E" w:rsidR="005B39BE" w:rsidRPr="002E3B84" w:rsidRDefault="002E3B84" w:rsidP="002E3B84">
      <w:pPr>
        <w:pStyle w:val="Sinespaciado"/>
        <w:jc w:val="both"/>
        <w:rPr>
          <w:rFonts w:ascii="Verdana" w:hAnsi="Verdana"/>
        </w:rPr>
      </w:pPr>
      <w:r w:rsidRPr="002E3B84">
        <w:rPr>
          <w:rFonts w:ascii="Verdana" w:hAnsi="Verdana"/>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60E9A51C" w14:textId="77777777" w:rsidR="002E3B84" w:rsidRDefault="002E3B84" w:rsidP="002E3B84">
      <w:pPr>
        <w:pStyle w:val="Sinespaciado"/>
        <w:jc w:val="both"/>
        <w:rPr>
          <w:rFonts w:ascii="Verdana" w:hAnsi="Verdana"/>
        </w:rPr>
      </w:pPr>
    </w:p>
    <w:p w14:paraId="0A3C0C2F" w14:textId="1FF6FA36" w:rsidR="005B39BE" w:rsidRPr="002E3B84" w:rsidRDefault="002E3B84" w:rsidP="002E3B84">
      <w:pPr>
        <w:pStyle w:val="Sinespaciado"/>
        <w:jc w:val="both"/>
        <w:rPr>
          <w:rFonts w:ascii="Verdana" w:hAnsi="Verdana"/>
        </w:rPr>
      </w:pPr>
      <w:r w:rsidRPr="002E3B84">
        <w:rPr>
          <w:rFonts w:ascii="Verdana" w:hAnsi="Verdana"/>
        </w:rPr>
        <w:t>Mediante el radicado de la referencia, el peticionario consulta si un consorcio que no fue constituido para ejecutar un contrato en desarrollo de la Ley 80 de 1993, debe constituir garantía global en los términos del artículo 9 del Decreto 1165 de 2019, para garantizar una operación de importación de bienes.</w:t>
      </w:r>
    </w:p>
    <w:p w14:paraId="2A91DF05" w14:textId="77777777" w:rsidR="002E3B84" w:rsidRDefault="002E3B84" w:rsidP="002E3B84">
      <w:pPr>
        <w:pStyle w:val="Sinespaciado"/>
        <w:jc w:val="both"/>
        <w:rPr>
          <w:rFonts w:ascii="Verdana" w:hAnsi="Verdana"/>
        </w:rPr>
      </w:pPr>
    </w:p>
    <w:p w14:paraId="3CAC1EAC" w14:textId="7E70058D" w:rsidR="005B39BE" w:rsidRPr="002E3B84" w:rsidRDefault="002E3B84" w:rsidP="002E3B84">
      <w:pPr>
        <w:pStyle w:val="Sinespaciado"/>
        <w:jc w:val="both"/>
        <w:rPr>
          <w:rFonts w:ascii="Verdana" w:hAnsi="Verdana"/>
        </w:rPr>
      </w:pPr>
      <w:r w:rsidRPr="002E3B84">
        <w:rPr>
          <w:rFonts w:ascii="Verdana" w:hAnsi="Verdana"/>
        </w:rPr>
        <w:t>Sobre el particular, las consideraciones de este Despacho son las siguientes:</w:t>
      </w:r>
    </w:p>
    <w:p w14:paraId="717C3BC5" w14:textId="77777777" w:rsidR="002E3B84" w:rsidRDefault="002E3B84" w:rsidP="002E3B84">
      <w:pPr>
        <w:pStyle w:val="Sinespaciado"/>
        <w:jc w:val="both"/>
        <w:rPr>
          <w:rFonts w:ascii="Verdana" w:hAnsi="Verdana"/>
        </w:rPr>
      </w:pPr>
    </w:p>
    <w:p w14:paraId="32217DC8" w14:textId="392592C4" w:rsidR="005B39BE" w:rsidRPr="002E3B84" w:rsidRDefault="002E3B84" w:rsidP="002E3B84">
      <w:pPr>
        <w:pStyle w:val="Sinespaciado"/>
        <w:jc w:val="both"/>
        <w:rPr>
          <w:rFonts w:ascii="Verdana" w:hAnsi="Verdana"/>
        </w:rPr>
      </w:pPr>
      <w:r w:rsidRPr="002E3B84">
        <w:rPr>
          <w:rFonts w:ascii="Verdana" w:hAnsi="Verdana"/>
        </w:rPr>
        <w:t>Por medio de Concepto 100208221-1233 del 07 de octubre de 2020, este Despacho se pronunció acerca de la posibilidad que tiene un consorcio o unión temporal de fungir como consignatario de un documento de transporte y en consecuencia como importador de mercancías. En el mencionado concepto, se precisó:</w:t>
      </w:r>
    </w:p>
    <w:p w14:paraId="216B3031" w14:textId="77777777" w:rsidR="002E3B84" w:rsidRDefault="002E3B84" w:rsidP="002E3B84">
      <w:pPr>
        <w:pStyle w:val="Sinespaciado"/>
        <w:jc w:val="both"/>
        <w:rPr>
          <w:rFonts w:ascii="Verdana" w:hAnsi="Verdana"/>
        </w:rPr>
      </w:pPr>
    </w:p>
    <w:p w14:paraId="49E33E91" w14:textId="33E98CB5" w:rsidR="005B39BE" w:rsidRPr="002E3B84" w:rsidRDefault="002E3B84" w:rsidP="002E3B84">
      <w:pPr>
        <w:pStyle w:val="Sinespaciado"/>
        <w:ind w:left="708"/>
        <w:jc w:val="both"/>
        <w:rPr>
          <w:rFonts w:ascii="Verdana" w:hAnsi="Verdana"/>
        </w:rPr>
      </w:pPr>
      <w:r>
        <w:rPr>
          <w:rFonts w:ascii="Verdana" w:hAnsi="Verdana"/>
          <w:i/>
          <w:iCs/>
        </w:rPr>
        <w:t>“</w:t>
      </w:r>
      <w:r w:rsidRPr="002E3B84">
        <w:rPr>
          <w:rFonts w:ascii="Verdana" w:hAnsi="Verdana"/>
          <w:i/>
          <w:iCs/>
        </w:rPr>
        <w:t>En conclusión, lo dispuesto en el artículo 9 del Decreto 1165 de 2019 y el artículo 17 de la Resolución 046 de 2019, será aplicable a los consorcios y uniones temporales</w:t>
      </w:r>
      <w:r w:rsidRPr="002E3B84">
        <w:rPr>
          <w:rFonts w:ascii="Verdana" w:hAnsi="Verdana"/>
        </w:rPr>
        <w:t xml:space="preserve"> </w:t>
      </w:r>
      <w:r w:rsidRPr="002E3B84">
        <w:rPr>
          <w:rStyle w:val="Cuerpodeltexto91"/>
          <w:rFonts w:ascii="Verdana" w:hAnsi="Verdana"/>
          <w:sz w:val="24"/>
          <w:szCs w:val="24"/>
        </w:rPr>
        <w:t>que puedan obrar en calidad de consignatarios, esto es, que se constituyan para la ejecución de un contrato en desarrollo de la Ley 80 de 1993, y que se indique en su documento constitutivo la posibilidad de ser consignatario de mercancías bajo control aduanero</w:t>
      </w:r>
      <w:r w:rsidRPr="002E3B84">
        <w:rPr>
          <w:rFonts w:ascii="Verdana" w:hAnsi="Verdana"/>
        </w:rPr>
        <w:t>.</w:t>
      </w:r>
    </w:p>
    <w:p w14:paraId="2DE42382" w14:textId="45AE678D" w:rsidR="005B39BE" w:rsidRPr="002E3B84" w:rsidRDefault="002E3B84" w:rsidP="002E3B84">
      <w:pPr>
        <w:pStyle w:val="Sinespaciado"/>
        <w:ind w:left="708"/>
        <w:jc w:val="both"/>
        <w:rPr>
          <w:rFonts w:ascii="Verdana" w:hAnsi="Verdana"/>
          <w:i/>
          <w:iCs/>
        </w:rPr>
      </w:pPr>
      <w:r w:rsidRPr="002E3B84">
        <w:rPr>
          <w:rFonts w:ascii="Verdana" w:hAnsi="Verdana"/>
          <w:i/>
          <w:iCs/>
        </w:rPr>
        <w:lastRenderedPageBreak/>
        <w:t>Así las cosas, bajo una interpretación armónica de las normas expuestas,</w:t>
      </w:r>
      <w:r w:rsidRPr="002E3B84">
        <w:rPr>
          <w:rFonts w:ascii="Verdana" w:hAnsi="Verdana"/>
        </w:rPr>
        <w:t xml:space="preserve"> </w:t>
      </w:r>
      <w:r w:rsidRPr="002E3B84">
        <w:rPr>
          <w:rStyle w:val="Cuerpodeltexto91"/>
          <w:rFonts w:ascii="Verdana" w:hAnsi="Verdana"/>
          <w:sz w:val="24"/>
          <w:szCs w:val="24"/>
        </w:rPr>
        <w:t>solo los consorcios y/o uniones temporales que se constituyan para la ejecución de un contrato en desarrollo de la Ley 80 de 1993</w:t>
      </w:r>
      <w:r w:rsidRPr="002E3B84">
        <w:rPr>
          <w:rStyle w:val="Cuerpodeltexto91"/>
          <w:rFonts w:ascii="Verdana" w:hAnsi="Verdana"/>
          <w:sz w:val="24"/>
          <w:szCs w:val="24"/>
          <w:u w:val="none"/>
        </w:rPr>
        <w:t>,</w:t>
      </w:r>
      <w:r w:rsidRPr="002E3B84">
        <w:rPr>
          <w:rFonts w:ascii="Verdana" w:hAnsi="Verdana"/>
        </w:rPr>
        <w:t xml:space="preserve"> </w:t>
      </w:r>
      <w:r w:rsidRPr="002E3B84">
        <w:rPr>
          <w:rFonts w:ascii="Verdana" w:hAnsi="Verdana"/>
          <w:i/>
          <w:iCs/>
        </w:rPr>
        <w:t>podrán fungir como consignatarios y por tanto como importadores siempre y cuando dicha calidad se encuentre acreditada en el documento constitutivo. Como consecuencia de lo anterior, estarían obligados a constituir garantía global en los términos del artículo 9 del Decreto 1165 de 2019 y artículo 17 de la Resolución 46 de 2019.</w:t>
      </w:r>
      <w:r>
        <w:rPr>
          <w:rFonts w:ascii="Verdana" w:hAnsi="Verdana"/>
          <w:i/>
          <w:iCs/>
        </w:rPr>
        <w:t>”</w:t>
      </w:r>
    </w:p>
    <w:p w14:paraId="51F9AD1D" w14:textId="77777777" w:rsidR="002E3B84" w:rsidRDefault="002E3B84" w:rsidP="002E3B84">
      <w:pPr>
        <w:pStyle w:val="Sinespaciado"/>
        <w:jc w:val="both"/>
        <w:rPr>
          <w:rFonts w:ascii="Verdana" w:hAnsi="Verdana"/>
        </w:rPr>
      </w:pPr>
    </w:p>
    <w:p w14:paraId="2432FC1C" w14:textId="0A53C0A3" w:rsidR="005B39BE" w:rsidRPr="002E3B84" w:rsidRDefault="002E3B84" w:rsidP="002E3B84">
      <w:pPr>
        <w:pStyle w:val="Sinespaciado"/>
        <w:jc w:val="both"/>
        <w:rPr>
          <w:rFonts w:ascii="Verdana" w:hAnsi="Verdana"/>
        </w:rPr>
      </w:pPr>
      <w:r w:rsidRPr="002E3B84">
        <w:rPr>
          <w:rFonts w:ascii="Verdana" w:hAnsi="Verdana"/>
        </w:rPr>
        <w:t>En los anteriores términos se resuelve su solicitud y finalmente le manifestamos que la Dirección de Impuestos y Aduanas Nacionales-DIAN-, con el fin de facilitar a los contribuyentes, usuarios y público en general el acceso directo a sus pronunciamientos doctrinarios, ha publicado en su página de internet www.dian.gov.co</w:t>
      </w:r>
      <w:r w:rsidRPr="002E3B84">
        <w:rPr>
          <w:rFonts w:ascii="Verdana" w:hAnsi="Verdana"/>
          <w:lang w:val="en-US" w:eastAsia="en-US" w:bidi="en-US"/>
        </w:rPr>
        <w:t xml:space="preserve">, </w:t>
      </w:r>
      <w:r w:rsidRPr="002E3B84">
        <w:rPr>
          <w:rFonts w:ascii="Verdana" w:hAnsi="Verdana"/>
        </w:rPr>
        <w:t xml:space="preserve">la base de conceptos en materia tributaria, aduanera y cambiaria expedidos desde el año 2001, la cual se puede ingresar por el icono de “Normatividad” </w:t>
      </w:r>
      <w:r>
        <w:rPr>
          <w:rFonts w:ascii="Verdana" w:hAnsi="Verdana"/>
        </w:rPr>
        <w:t>– “</w:t>
      </w:r>
      <w:r w:rsidRPr="002E3B84">
        <w:rPr>
          <w:rFonts w:ascii="Verdana" w:hAnsi="Verdana"/>
        </w:rPr>
        <w:t>Doctrina</w:t>
      </w:r>
      <w:r>
        <w:rPr>
          <w:rFonts w:ascii="Verdana" w:hAnsi="Verdana"/>
        </w:rPr>
        <w:t>”</w:t>
      </w:r>
      <w:r w:rsidRPr="002E3B84">
        <w:rPr>
          <w:rFonts w:ascii="Verdana" w:hAnsi="Verdana"/>
        </w:rPr>
        <w:t xml:space="preserve">-, dando click en el link </w:t>
      </w:r>
      <w:r>
        <w:rPr>
          <w:rFonts w:ascii="Verdana" w:hAnsi="Verdana"/>
        </w:rPr>
        <w:t>“</w:t>
      </w:r>
      <w:r w:rsidRPr="002E3B84">
        <w:rPr>
          <w:rFonts w:ascii="Verdana" w:hAnsi="Verdana"/>
        </w:rPr>
        <w:t>Doctrina Dirección de Gestión Jurídica”.</w:t>
      </w:r>
    </w:p>
    <w:p w14:paraId="71C78614" w14:textId="77777777" w:rsidR="002E3B84" w:rsidRDefault="002E3B84" w:rsidP="002E3B84">
      <w:pPr>
        <w:pStyle w:val="Sinespaciado"/>
        <w:jc w:val="both"/>
        <w:rPr>
          <w:rFonts w:ascii="Verdana" w:hAnsi="Verdana"/>
        </w:rPr>
      </w:pPr>
    </w:p>
    <w:p w14:paraId="6DC061F1" w14:textId="77777777" w:rsidR="002E3B84" w:rsidRDefault="002E3B84" w:rsidP="002E3B84">
      <w:pPr>
        <w:pStyle w:val="Sinespaciado"/>
        <w:jc w:val="both"/>
        <w:rPr>
          <w:rFonts w:ascii="Verdana" w:hAnsi="Verdana"/>
        </w:rPr>
      </w:pPr>
    </w:p>
    <w:p w14:paraId="52FE7565" w14:textId="0E6FB005" w:rsidR="005B39BE" w:rsidRPr="002E3B84" w:rsidRDefault="002E3B84" w:rsidP="002E3B84">
      <w:pPr>
        <w:pStyle w:val="Sinespaciado"/>
        <w:jc w:val="both"/>
        <w:rPr>
          <w:rFonts w:ascii="Verdana" w:hAnsi="Verdana"/>
        </w:rPr>
      </w:pPr>
      <w:r w:rsidRPr="002E3B84">
        <w:rPr>
          <w:rFonts w:ascii="Verdana" w:hAnsi="Verdana"/>
        </w:rPr>
        <w:t>Atentamente,</w:t>
      </w:r>
    </w:p>
    <w:p w14:paraId="56326FBA" w14:textId="77777777" w:rsidR="002E3B84" w:rsidRDefault="002E3B84" w:rsidP="002E3B84">
      <w:pPr>
        <w:pStyle w:val="Sinespaciado"/>
        <w:jc w:val="both"/>
        <w:rPr>
          <w:rFonts w:ascii="Verdana" w:hAnsi="Verdana"/>
        </w:rPr>
      </w:pPr>
      <w:bookmarkStart w:id="0" w:name="bookmark0"/>
    </w:p>
    <w:p w14:paraId="41E96749" w14:textId="77777777" w:rsidR="002E3B84" w:rsidRDefault="002E3B84" w:rsidP="002E3B84">
      <w:pPr>
        <w:pStyle w:val="Sinespaciado"/>
        <w:jc w:val="both"/>
        <w:rPr>
          <w:rFonts w:ascii="Verdana" w:hAnsi="Verdana"/>
        </w:rPr>
      </w:pPr>
    </w:p>
    <w:p w14:paraId="66CB27CA" w14:textId="77777777" w:rsidR="002E3B84" w:rsidRDefault="002E3B84" w:rsidP="002E3B84">
      <w:pPr>
        <w:pStyle w:val="Sinespaciado"/>
        <w:jc w:val="both"/>
        <w:rPr>
          <w:rFonts w:ascii="Verdana" w:hAnsi="Verdana"/>
        </w:rPr>
      </w:pPr>
    </w:p>
    <w:p w14:paraId="1733E4C0" w14:textId="322C4120" w:rsidR="005B39BE" w:rsidRPr="002E3B84" w:rsidRDefault="002E3B84" w:rsidP="002E3B84">
      <w:pPr>
        <w:pStyle w:val="Sinespaciado"/>
        <w:jc w:val="both"/>
        <w:rPr>
          <w:rFonts w:ascii="Verdana" w:hAnsi="Verdana"/>
          <w:b/>
          <w:bCs/>
        </w:rPr>
      </w:pPr>
      <w:r w:rsidRPr="002E3B84">
        <w:rPr>
          <w:rFonts w:ascii="Verdana" w:hAnsi="Verdana"/>
          <w:b/>
          <w:bCs/>
        </w:rPr>
        <w:t>PABLO EMILIO MENDOZA VELILLA</w:t>
      </w:r>
      <w:bookmarkEnd w:id="0"/>
    </w:p>
    <w:p w14:paraId="6A07F7BD" w14:textId="77777777" w:rsidR="002E3B84" w:rsidRDefault="002E3B84" w:rsidP="002E3B84">
      <w:pPr>
        <w:pStyle w:val="Sinespaciado"/>
        <w:jc w:val="both"/>
        <w:rPr>
          <w:rFonts w:ascii="Verdana" w:hAnsi="Verdana"/>
        </w:rPr>
      </w:pPr>
      <w:r w:rsidRPr="002E3B84">
        <w:rPr>
          <w:rFonts w:ascii="Verdana" w:hAnsi="Verdana"/>
        </w:rPr>
        <w:t>Subdirector de Gestión Normativa y Doctrina</w:t>
      </w:r>
    </w:p>
    <w:p w14:paraId="0EA4FEE2" w14:textId="77777777" w:rsidR="002E3B84" w:rsidRDefault="002E3B84" w:rsidP="002E3B84">
      <w:pPr>
        <w:pStyle w:val="Sinespaciado"/>
        <w:jc w:val="both"/>
        <w:rPr>
          <w:rFonts w:ascii="Verdana" w:hAnsi="Verdana"/>
        </w:rPr>
      </w:pPr>
      <w:r w:rsidRPr="002E3B84">
        <w:rPr>
          <w:rFonts w:ascii="Verdana" w:hAnsi="Verdana"/>
        </w:rPr>
        <w:t>Dirección de Gestión Jurídica</w:t>
      </w:r>
    </w:p>
    <w:p w14:paraId="3CDB5CF6" w14:textId="0204D67C" w:rsidR="005B39BE" w:rsidRPr="002E3B84" w:rsidRDefault="002E3B84" w:rsidP="002E3B84">
      <w:pPr>
        <w:pStyle w:val="Sinespaciado"/>
        <w:jc w:val="both"/>
        <w:rPr>
          <w:rFonts w:ascii="Verdana" w:hAnsi="Verdana"/>
        </w:rPr>
      </w:pPr>
      <w:r w:rsidRPr="002E3B84">
        <w:rPr>
          <w:rFonts w:ascii="Verdana" w:hAnsi="Verdana"/>
        </w:rPr>
        <w:t>UAE-DIAN</w:t>
      </w:r>
    </w:p>
    <w:p w14:paraId="67FB8FFB" w14:textId="77777777" w:rsidR="002E3B84" w:rsidRDefault="002E3B84" w:rsidP="002E3B84">
      <w:pPr>
        <w:pStyle w:val="Sinespaciado"/>
        <w:jc w:val="both"/>
        <w:rPr>
          <w:rFonts w:ascii="Verdana" w:hAnsi="Verdana"/>
        </w:rPr>
      </w:pPr>
      <w:r w:rsidRPr="002E3B84">
        <w:rPr>
          <w:rFonts w:ascii="Verdana" w:hAnsi="Verdana"/>
        </w:rPr>
        <w:t>Car. 8 N° 6C-38 Piso 4, Edificio San Agustín</w:t>
      </w:r>
    </w:p>
    <w:p w14:paraId="468A2095" w14:textId="3723803E" w:rsidR="005B39BE" w:rsidRPr="002E3B84" w:rsidRDefault="002E3B84" w:rsidP="002E3B84">
      <w:pPr>
        <w:pStyle w:val="Sinespaciado"/>
        <w:jc w:val="both"/>
        <w:rPr>
          <w:rFonts w:ascii="Verdana" w:hAnsi="Verdana"/>
        </w:rPr>
      </w:pPr>
      <w:r w:rsidRPr="002E3B84">
        <w:rPr>
          <w:rFonts w:ascii="Verdana" w:hAnsi="Verdana"/>
        </w:rPr>
        <w:t>Bogotá D.C.</w:t>
      </w:r>
    </w:p>
    <w:sectPr w:rsidR="005B39BE" w:rsidRPr="002E3B84" w:rsidSect="002E3B84">
      <w:pgSz w:w="12240" w:h="15840" w:code="1"/>
      <w:pgMar w:top="1701" w:right="1418" w:bottom="1701" w:left="1418" w:header="709" w:footer="125" w:gutter="0"/>
      <w:pgNumType w:start="84"/>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17E1A" w14:textId="77777777" w:rsidR="00884131" w:rsidRDefault="00884131">
      <w:r>
        <w:separator/>
      </w:r>
    </w:p>
  </w:endnote>
  <w:endnote w:type="continuationSeparator" w:id="0">
    <w:p w14:paraId="49D0C486" w14:textId="77777777" w:rsidR="00884131" w:rsidRDefault="0088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197F9" w14:textId="77777777" w:rsidR="00884131" w:rsidRDefault="00884131"/>
  </w:footnote>
  <w:footnote w:type="continuationSeparator" w:id="0">
    <w:p w14:paraId="518B9431" w14:textId="77777777" w:rsidR="00884131" w:rsidRDefault="0088413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BE"/>
    <w:rsid w:val="00282AD9"/>
    <w:rsid w:val="002E3B84"/>
    <w:rsid w:val="005B39BE"/>
    <w:rsid w:val="00884131"/>
    <w:rsid w:val="00D90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2F83D"/>
  <w15:docId w15:val="{52551356-61F7-40AE-8E42-4C5C5DD2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7">
    <w:name w:val="Cuerpo del texto (7)_"/>
    <w:basedOn w:val="Fuentedeprrafopredeter"/>
    <w:link w:val="Cuerpodeltexto70"/>
    <w:rPr>
      <w:rFonts w:ascii="Arial" w:eastAsia="Arial" w:hAnsi="Arial" w:cs="Arial"/>
      <w:b w:val="0"/>
      <w:bCs w:val="0"/>
      <w:i w:val="0"/>
      <w:iCs w:val="0"/>
      <w:smallCaps w:val="0"/>
      <w:strike w:val="0"/>
      <w:sz w:val="20"/>
      <w:szCs w:val="20"/>
      <w:u w:val="none"/>
    </w:rPr>
  </w:style>
  <w:style w:type="character" w:customStyle="1" w:styleId="Cuerpodeltexto9">
    <w:name w:val="Cuerpo del texto (9)_"/>
    <w:basedOn w:val="Fuentedeprrafopredeter"/>
    <w:link w:val="Cuerpodeltexto90"/>
    <w:rPr>
      <w:rFonts w:ascii="Arial" w:eastAsia="Arial" w:hAnsi="Arial" w:cs="Arial"/>
      <w:b w:val="0"/>
      <w:bCs w:val="0"/>
      <w:i/>
      <w:iCs/>
      <w:smallCaps w:val="0"/>
      <w:strike w:val="0"/>
      <w:sz w:val="21"/>
      <w:szCs w:val="21"/>
      <w:u w:val="none"/>
    </w:rPr>
  </w:style>
  <w:style w:type="character" w:customStyle="1" w:styleId="Cuerpodeltexto91">
    <w:name w:val="Cuerpo del texto (9)"/>
    <w:basedOn w:val="Cuerpodeltexto9"/>
    <w:rPr>
      <w:rFonts w:ascii="Arial" w:eastAsia="Arial" w:hAnsi="Arial" w:cs="Arial"/>
      <w:b w:val="0"/>
      <w:bCs w:val="0"/>
      <w:i/>
      <w:iCs/>
      <w:smallCaps w:val="0"/>
      <w:strike w:val="0"/>
      <w:color w:val="000000"/>
      <w:spacing w:val="0"/>
      <w:w w:val="100"/>
      <w:position w:val="0"/>
      <w:sz w:val="21"/>
      <w:szCs w:val="21"/>
      <w:u w:val="single"/>
      <w:lang w:val="es-ES" w:eastAsia="es-ES" w:bidi="es-ES"/>
    </w:rPr>
  </w:style>
  <w:style w:type="character" w:customStyle="1" w:styleId="Cuerpodeltexto71">
    <w:name w:val="Cuerpo del texto (7)"/>
    <w:basedOn w:val="Cuerpodeltexto7"/>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Cuerpodeltexto27">
    <w:name w:val="Cuerpo del texto (27)_"/>
    <w:basedOn w:val="Fuentedeprrafopredeter"/>
    <w:link w:val="Cuerpodeltexto270"/>
    <w:rPr>
      <w:rFonts w:ascii="Arial" w:eastAsia="Arial" w:hAnsi="Arial" w:cs="Arial"/>
      <w:b w:val="0"/>
      <w:bCs w:val="0"/>
      <w:i w:val="0"/>
      <w:iCs w:val="0"/>
      <w:smallCaps w:val="0"/>
      <w:strike w:val="0"/>
      <w:sz w:val="11"/>
      <w:szCs w:val="11"/>
      <w:u w:val="none"/>
    </w:rPr>
  </w:style>
  <w:style w:type="character" w:customStyle="1" w:styleId="Cuerpodeltexto27MicrosoftSansSerifCursiva">
    <w:name w:val="Cuerpo del texto (27) + Microsoft Sans Serif;Cursiva"/>
    <w:basedOn w:val="Cuerpodeltexto27"/>
    <w:rPr>
      <w:rFonts w:ascii="Microsoft Sans Serif" w:eastAsia="Microsoft Sans Serif" w:hAnsi="Microsoft Sans Serif" w:cs="Microsoft Sans Serif"/>
      <w:b w:val="0"/>
      <w:bCs w:val="0"/>
      <w:i/>
      <w:iCs/>
      <w:smallCaps w:val="0"/>
      <w:strike w:val="0"/>
      <w:color w:val="000000"/>
      <w:spacing w:val="0"/>
      <w:w w:val="100"/>
      <w:position w:val="0"/>
      <w:sz w:val="11"/>
      <w:szCs w:val="11"/>
      <w:u w:val="none"/>
      <w:lang w:val="es-ES" w:eastAsia="es-ES" w:bidi="es-ES"/>
    </w:rPr>
  </w:style>
  <w:style w:type="character" w:customStyle="1" w:styleId="Cuerpodeltexto29">
    <w:name w:val="Cuerpo del texto (29)_"/>
    <w:basedOn w:val="Fuentedeprrafopredeter"/>
    <w:link w:val="Cuerpodeltexto290"/>
    <w:rPr>
      <w:b/>
      <w:bCs/>
      <w:i w:val="0"/>
      <w:iCs w:val="0"/>
      <w:smallCaps w:val="0"/>
      <w:strike w:val="0"/>
      <w:sz w:val="10"/>
      <w:szCs w:val="10"/>
      <w:u w:val="none"/>
    </w:rPr>
  </w:style>
  <w:style w:type="character" w:customStyle="1" w:styleId="Cuerpodeltexto296ptoSinnegritaCursivaEspaciado2pto">
    <w:name w:val="Cuerpo del texto (29) + 6 pto;Sin negrita;Cursiva;Espaciado 2 pto"/>
    <w:basedOn w:val="Cuerpodeltexto29"/>
    <w:rPr>
      <w:rFonts w:ascii="Microsoft Sans Serif" w:eastAsia="Microsoft Sans Serif" w:hAnsi="Microsoft Sans Serif" w:cs="Microsoft Sans Serif"/>
      <w:b/>
      <w:bCs/>
      <w:i/>
      <w:iCs/>
      <w:smallCaps w:val="0"/>
      <w:strike w:val="0"/>
      <w:color w:val="000000"/>
      <w:spacing w:val="50"/>
      <w:w w:val="100"/>
      <w:position w:val="0"/>
      <w:sz w:val="12"/>
      <w:szCs w:val="12"/>
      <w:u w:val="none"/>
      <w:lang w:val="es-ES" w:eastAsia="es-ES" w:bidi="es-ES"/>
    </w:rPr>
  </w:style>
  <w:style w:type="character" w:customStyle="1" w:styleId="Ttulo23">
    <w:name w:val="Título #2 (3)_"/>
    <w:basedOn w:val="Fuentedeprrafopredeter"/>
    <w:link w:val="Ttulo230"/>
    <w:rPr>
      <w:rFonts w:ascii="Arial" w:eastAsia="Arial" w:hAnsi="Arial" w:cs="Arial"/>
      <w:b/>
      <w:bCs/>
      <w:i w:val="0"/>
      <w:iCs w:val="0"/>
      <w:smallCaps w:val="0"/>
      <w:strike w:val="0"/>
      <w:sz w:val="21"/>
      <w:szCs w:val="21"/>
      <w:u w:val="none"/>
    </w:rPr>
  </w:style>
  <w:style w:type="paragraph" w:customStyle="1" w:styleId="Cuerpodeltexto70">
    <w:name w:val="Cuerpo del texto (7)"/>
    <w:basedOn w:val="Normal"/>
    <w:link w:val="Cuerpodeltexto7"/>
    <w:pPr>
      <w:shd w:val="clear" w:color="auto" w:fill="FFFFFF"/>
      <w:spacing w:before="420" w:after="2040" w:line="514" w:lineRule="exact"/>
      <w:ind w:hanging="720"/>
    </w:pPr>
    <w:rPr>
      <w:rFonts w:ascii="Arial" w:eastAsia="Arial" w:hAnsi="Arial" w:cs="Arial"/>
      <w:sz w:val="20"/>
      <w:szCs w:val="20"/>
    </w:rPr>
  </w:style>
  <w:style w:type="paragraph" w:customStyle="1" w:styleId="Cuerpodeltexto90">
    <w:name w:val="Cuerpo del texto (9)"/>
    <w:basedOn w:val="Normal"/>
    <w:link w:val="Cuerpodeltexto9"/>
    <w:pPr>
      <w:shd w:val="clear" w:color="auto" w:fill="FFFFFF"/>
      <w:spacing w:before="300" w:after="300" w:line="254" w:lineRule="exact"/>
    </w:pPr>
    <w:rPr>
      <w:rFonts w:ascii="Arial" w:eastAsia="Arial" w:hAnsi="Arial" w:cs="Arial"/>
      <w:i/>
      <w:iCs/>
      <w:sz w:val="21"/>
      <w:szCs w:val="21"/>
    </w:rPr>
  </w:style>
  <w:style w:type="paragraph" w:customStyle="1" w:styleId="Cuerpodeltexto270">
    <w:name w:val="Cuerpo del texto (27)"/>
    <w:basedOn w:val="Normal"/>
    <w:link w:val="Cuerpodeltexto27"/>
    <w:pPr>
      <w:shd w:val="clear" w:color="auto" w:fill="FFFFFF"/>
      <w:spacing w:before="180" w:line="149" w:lineRule="exact"/>
      <w:ind w:hanging="1360"/>
      <w:jc w:val="both"/>
    </w:pPr>
    <w:rPr>
      <w:rFonts w:ascii="Arial" w:eastAsia="Arial" w:hAnsi="Arial" w:cs="Arial"/>
      <w:sz w:val="11"/>
      <w:szCs w:val="11"/>
    </w:rPr>
  </w:style>
  <w:style w:type="paragraph" w:customStyle="1" w:styleId="Cuerpodeltexto290">
    <w:name w:val="Cuerpo del texto (29)"/>
    <w:basedOn w:val="Normal"/>
    <w:link w:val="Cuerpodeltexto29"/>
    <w:pPr>
      <w:shd w:val="clear" w:color="auto" w:fill="FFFFFF"/>
      <w:spacing w:after="180" w:line="139" w:lineRule="exact"/>
      <w:jc w:val="both"/>
    </w:pPr>
    <w:rPr>
      <w:b/>
      <w:bCs/>
      <w:sz w:val="10"/>
      <w:szCs w:val="10"/>
    </w:rPr>
  </w:style>
  <w:style w:type="paragraph" w:customStyle="1" w:styleId="Ttulo230">
    <w:name w:val="Título #2 (3)"/>
    <w:basedOn w:val="Normal"/>
    <w:link w:val="Ttulo23"/>
    <w:pPr>
      <w:shd w:val="clear" w:color="auto" w:fill="FFFFFF"/>
      <w:spacing w:before="120" w:line="250" w:lineRule="exact"/>
      <w:jc w:val="both"/>
      <w:outlineLvl w:val="1"/>
    </w:pPr>
    <w:rPr>
      <w:rFonts w:ascii="Arial" w:eastAsia="Arial" w:hAnsi="Arial" w:cs="Arial"/>
      <w:b/>
      <w:bCs/>
      <w:sz w:val="21"/>
      <w:szCs w:val="21"/>
    </w:rPr>
  </w:style>
  <w:style w:type="paragraph" w:styleId="Sinespaciado">
    <w:name w:val="No Spacing"/>
    <w:uiPriority w:val="1"/>
    <w:qFormat/>
    <w:rsid w:val="002E3B8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2743</Characters>
  <Application>Microsoft Office Word</Application>
  <DocSecurity>0</DocSecurity>
  <Lines>22</Lines>
  <Paragraphs>6</Paragraphs>
  <ScaleCrop>false</ScaleCrop>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2021-05-31T15:14:00Z</dcterms:created>
  <dcterms:modified xsi:type="dcterms:W3CDTF">2021-05-31T15:14:00Z</dcterms:modified>
</cp:coreProperties>
</file>